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B584A" w14:textId="6A3E1F94" w:rsidR="00BC1B91" w:rsidRDefault="00BC1B91" w:rsidP="00BC1B91">
      <w:pPr>
        <w:rPr>
          <w:rFonts w:ascii="Century Gothic" w:hAnsi="Century Gothic"/>
          <w:sz w:val="14"/>
          <w:szCs w:val="14"/>
        </w:rPr>
      </w:pPr>
      <w:r>
        <w:rPr>
          <w:noProof/>
        </w:rPr>
        <w:drawing>
          <wp:inline distT="0" distB="0" distL="0" distR="0" wp14:anchorId="6C4E7011" wp14:editId="3B5D706B">
            <wp:extent cx="9631045" cy="3162300"/>
            <wp:effectExtent l="0" t="0" r="8255" b="0"/>
            <wp:docPr id="167666194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661942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2884"/>
        <w:gridCol w:w="2881"/>
        <w:gridCol w:w="2892"/>
        <w:gridCol w:w="2884"/>
        <w:gridCol w:w="3650"/>
      </w:tblGrid>
      <w:tr w:rsidR="0076413E" w14:paraId="7AFF56A0" w14:textId="77777777" w:rsidTr="00BC1B91">
        <w:trPr>
          <w:trHeight w:val="221"/>
        </w:trPr>
        <w:tc>
          <w:tcPr>
            <w:tcW w:w="2908" w:type="dxa"/>
            <w:shd w:val="clear" w:color="auto" w:fill="CCC0D9" w:themeFill="accent4" w:themeFillTint="66"/>
          </w:tcPr>
          <w:p w14:paraId="3620E76C" w14:textId="3F17AFC1" w:rsidR="0076413E" w:rsidRDefault="0076413E">
            <w:pPr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Criminal-</w:t>
            </w:r>
            <w:r w:rsidRPr="0076413E">
              <w:rPr>
                <w:rFonts w:ascii="Century Gothic" w:hAnsi="Century Gothic"/>
                <w:sz w:val="14"/>
                <w:szCs w:val="14"/>
              </w:rPr>
              <w:t>General Elements</w:t>
            </w:r>
          </w:p>
        </w:tc>
        <w:tc>
          <w:tcPr>
            <w:tcW w:w="2908" w:type="dxa"/>
            <w:shd w:val="clear" w:color="auto" w:fill="CCC0D9" w:themeFill="accent4" w:themeFillTint="66"/>
          </w:tcPr>
          <w:p w14:paraId="275ADF3F" w14:textId="653F4972" w:rsidR="0076413E" w:rsidRDefault="0076413E">
            <w:pPr>
              <w:rPr>
                <w:rFonts w:ascii="Century Gothic" w:hAnsi="Century Gothic"/>
                <w:sz w:val="14"/>
                <w:szCs w:val="14"/>
              </w:rPr>
            </w:pPr>
            <w:r w:rsidRPr="0076413E">
              <w:rPr>
                <w:rFonts w:ascii="Century Gothic" w:hAnsi="Century Gothic"/>
                <w:sz w:val="14"/>
                <w:szCs w:val="14"/>
              </w:rPr>
              <w:t xml:space="preserve">Non-Fatal Offences </w:t>
            </w:r>
          </w:p>
        </w:tc>
        <w:tc>
          <w:tcPr>
            <w:tcW w:w="2908" w:type="dxa"/>
            <w:shd w:val="clear" w:color="auto" w:fill="CCC0D9" w:themeFill="accent4" w:themeFillTint="66"/>
          </w:tcPr>
          <w:p w14:paraId="64333286" w14:textId="47AF8848" w:rsidR="0076413E" w:rsidRDefault="0076413E">
            <w:pPr>
              <w:rPr>
                <w:rFonts w:ascii="Century Gothic" w:hAnsi="Century Gothic"/>
                <w:sz w:val="14"/>
                <w:szCs w:val="14"/>
              </w:rPr>
            </w:pPr>
            <w:r w:rsidRPr="0076413E">
              <w:rPr>
                <w:rFonts w:ascii="Century Gothic" w:hAnsi="Century Gothic"/>
                <w:sz w:val="14"/>
                <w:szCs w:val="14"/>
              </w:rPr>
              <w:t>Fatal Offences</w:t>
            </w:r>
          </w:p>
        </w:tc>
        <w:tc>
          <w:tcPr>
            <w:tcW w:w="2908" w:type="dxa"/>
            <w:shd w:val="clear" w:color="auto" w:fill="CCC0D9" w:themeFill="accent4" w:themeFillTint="66"/>
          </w:tcPr>
          <w:p w14:paraId="1B263931" w14:textId="2C3CBFCD" w:rsidR="0076413E" w:rsidRDefault="0076413E">
            <w:pPr>
              <w:rPr>
                <w:rFonts w:ascii="Century Gothic" w:hAnsi="Century Gothic"/>
                <w:sz w:val="14"/>
                <w:szCs w:val="14"/>
              </w:rPr>
            </w:pPr>
            <w:r w:rsidRPr="0076413E">
              <w:rPr>
                <w:rFonts w:ascii="Century Gothic" w:hAnsi="Century Gothic"/>
                <w:sz w:val="14"/>
                <w:szCs w:val="14"/>
              </w:rPr>
              <w:t>Property Offences</w:t>
            </w:r>
          </w:p>
        </w:tc>
        <w:tc>
          <w:tcPr>
            <w:tcW w:w="3678" w:type="dxa"/>
            <w:shd w:val="clear" w:color="auto" w:fill="CCC0D9" w:themeFill="accent4" w:themeFillTint="66"/>
          </w:tcPr>
          <w:p w14:paraId="246CBF9B" w14:textId="4B57F4C2" w:rsidR="0076413E" w:rsidRDefault="0076413E">
            <w:pPr>
              <w:rPr>
                <w:rFonts w:ascii="Century Gothic" w:hAnsi="Century Gothic"/>
                <w:sz w:val="14"/>
                <w:szCs w:val="14"/>
              </w:rPr>
            </w:pPr>
            <w:r w:rsidRPr="0076413E">
              <w:rPr>
                <w:rFonts w:ascii="Century Gothic" w:hAnsi="Century Gothic"/>
                <w:sz w:val="14"/>
                <w:szCs w:val="14"/>
              </w:rPr>
              <w:t>Criminal Defences</w:t>
            </w:r>
          </w:p>
        </w:tc>
      </w:tr>
      <w:tr w:rsidR="0076413E" w14:paraId="4524C7EC" w14:textId="77777777" w:rsidTr="00BC1B91">
        <w:trPr>
          <w:trHeight w:val="1543"/>
        </w:trPr>
        <w:tc>
          <w:tcPr>
            <w:tcW w:w="2908" w:type="dxa"/>
          </w:tcPr>
          <w:p w14:paraId="30AB369B" w14:textId="7E28D920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Covers the foundations of criminal responsibility, including *actus reus* (the physical act), *</w:t>
            </w:r>
            <w:proofErr w:type="spellStart"/>
            <w:r w:rsidRPr="00BC1B91">
              <w:rPr>
                <w:rFonts w:ascii="Century Gothic" w:hAnsi="Century Gothic"/>
                <w:sz w:val="16"/>
                <w:szCs w:val="16"/>
              </w:rPr>
              <w:t>mens</w:t>
            </w:r>
            <w:proofErr w:type="spellEnd"/>
            <w:r w:rsidRPr="00BC1B91">
              <w:rPr>
                <w:rFonts w:ascii="Century Gothic" w:hAnsi="Century Gothic"/>
                <w:sz w:val="16"/>
                <w:szCs w:val="16"/>
              </w:rPr>
              <w:t xml:space="preserve"> rea* (the mental intent), causation, and strict liability offences. Students learn how these elements must be proven for a conviction.</w:t>
            </w:r>
          </w:p>
        </w:tc>
        <w:tc>
          <w:tcPr>
            <w:tcW w:w="2908" w:type="dxa"/>
          </w:tcPr>
          <w:p w14:paraId="335AA32A" w14:textId="2F665549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Focuses on offences such as assault, battery, ABH (s.47), GBH (s.20 and s.18). Students study definitions, case law, and the hierarchy of severity, alongside criticisms and possible reforms.</w:t>
            </w:r>
          </w:p>
        </w:tc>
        <w:tc>
          <w:tcPr>
            <w:tcW w:w="2908" w:type="dxa"/>
          </w:tcPr>
          <w:p w14:paraId="37324758" w14:textId="7BD0494E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Includes murder and voluntary/involuntary manslaughter. Students explore how intent and partial defences like diminished responsibility and loss of control affect liability.</w:t>
            </w:r>
          </w:p>
        </w:tc>
        <w:tc>
          <w:tcPr>
            <w:tcW w:w="2908" w:type="dxa"/>
          </w:tcPr>
          <w:p w14:paraId="1EE7C094" w14:textId="57850720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proofErr w:type="gramStart"/>
            <w:r w:rsidRPr="00BC1B91">
              <w:rPr>
                <w:rFonts w:ascii="Century Gothic" w:hAnsi="Century Gothic"/>
                <w:sz w:val="16"/>
                <w:szCs w:val="16"/>
              </w:rPr>
              <w:t>Examines</w:t>
            </w:r>
            <w:proofErr w:type="gramEnd"/>
            <w:r w:rsidRPr="00BC1B91">
              <w:rPr>
                <w:rFonts w:ascii="Century Gothic" w:hAnsi="Century Gothic"/>
                <w:sz w:val="16"/>
                <w:szCs w:val="16"/>
              </w:rPr>
              <w:t xml:space="preserve"> theft, robbery, burglary, and related dishonesty offences. Key cases</w:t>
            </w:r>
            <w:r w:rsidR="00CC74BC">
              <w:rPr>
                <w:rFonts w:ascii="Century Gothic" w:hAnsi="Century Gothic"/>
                <w:sz w:val="16"/>
                <w:szCs w:val="16"/>
              </w:rPr>
              <w:t xml:space="preserve"> e.g. c</w:t>
            </w:r>
            <w:r w:rsidR="00CC74BC" w:rsidRPr="00BC1B91">
              <w:rPr>
                <w:rFonts w:ascii="Century Gothic" w:hAnsi="Century Gothic"/>
                <w:sz w:val="16"/>
                <w:szCs w:val="16"/>
              </w:rPr>
              <w:t>oncepts</w:t>
            </w:r>
            <w:r w:rsidRPr="00BC1B91">
              <w:rPr>
                <w:rFonts w:ascii="Century Gothic" w:hAnsi="Century Gothic"/>
                <w:sz w:val="16"/>
                <w:szCs w:val="16"/>
              </w:rPr>
              <w:t xml:space="preserve"> like appropriation, intention to permanently deprive, and use of force are studied.</w:t>
            </w:r>
          </w:p>
        </w:tc>
        <w:tc>
          <w:tcPr>
            <w:tcW w:w="3678" w:type="dxa"/>
          </w:tcPr>
          <w:p w14:paraId="3BD3BDCA" w14:textId="27C6ACA5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Covers both complete and partial defences such as self-defence, intoxication, duress, necessity, automatism, and insanity. Students evaluate how and when these defences apply and their effectiveness in achieving justice.</w:t>
            </w:r>
          </w:p>
        </w:tc>
      </w:tr>
      <w:tr w:rsidR="0076413E" w14:paraId="14FD2152" w14:textId="77777777" w:rsidTr="00BC1B91">
        <w:trPr>
          <w:trHeight w:val="221"/>
        </w:trPr>
        <w:tc>
          <w:tcPr>
            <w:tcW w:w="2908" w:type="dxa"/>
            <w:shd w:val="clear" w:color="auto" w:fill="BCE4F4"/>
          </w:tcPr>
          <w:p w14:paraId="2699D4B7" w14:textId="740EB2A0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Tort-Negligence</w:t>
            </w:r>
          </w:p>
        </w:tc>
        <w:tc>
          <w:tcPr>
            <w:tcW w:w="2908" w:type="dxa"/>
            <w:shd w:val="clear" w:color="auto" w:fill="BCE4F4"/>
          </w:tcPr>
          <w:p w14:paraId="768230B1" w14:textId="522FEFD4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Occupiers’ Liability</w:t>
            </w:r>
          </w:p>
        </w:tc>
        <w:tc>
          <w:tcPr>
            <w:tcW w:w="2908" w:type="dxa"/>
            <w:shd w:val="clear" w:color="auto" w:fill="BCE4F4"/>
          </w:tcPr>
          <w:p w14:paraId="7B92E9B0" w14:textId="449E15D1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Nuisance &amp; Rylands v Fletcher</w:t>
            </w:r>
          </w:p>
        </w:tc>
        <w:tc>
          <w:tcPr>
            <w:tcW w:w="2908" w:type="dxa"/>
            <w:shd w:val="clear" w:color="auto" w:fill="BCE4F4"/>
          </w:tcPr>
          <w:p w14:paraId="4E1BFAA6" w14:textId="74EFC468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Vicarious Liability</w:t>
            </w:r>
          </w:p>
        </w:tc>
        <w:tc>
          <w:tcPr>
            <w:tcW w:w="3678" w:type="dxa"/>
            <w:shd w:val="clear" w:color="auto" w:fill="BCE4F4"/>
          </w:tcPr>
          <w:p w14:paraId="226B99EF" w14:textId="61550376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Defences&amp;Remedies</w:t>
            </w:r>
          </w:p>
        </w:tc>
      </w:tr>
      <w:tr w:rsidR="0076413E" w14:paraId="4FC6614B" w14:textId="77777777" w:rsidTr="00BC1B91">
        <w:trPr>
          <w:trHeight w:val="1788"/>
        </w:trPr>
        <w:tc>
          <w:tcPr>
            <w:tcW w:w="2908" w:type="dxa"/>
          </w:tcPr>
          <w:p w14:paraId="4DF402CE" w14:textId="53250C68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Central to Tort Law, this topic explores how individuals can claim compensation for harm caused by others’ carelessness. Students study duty of care (e.g., Donoghue v Stevenson), breach, and damage, as well as policy considerations.</w:t>
            </w:r>
          </w:p>
        </w:tc>
        <w:tc>
          <w:tcPr>
            <w:tcW w:w="2908" w:type="dxa"/>
          </w:tcPr>
          <w:p w14:paraId="251C85A2" w14:textId="30A1DD94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Focuses on the duty owed by those in control of premises to lawful visitors (under the 1957 Act) and trespassers (under the 1984 Act). Students analyse statutory duties and real-life implications.</w:t>
            </w:r>
          </w:p>
        </w:tc>
        <w:tc>
          <w:tcPr>
            <w:tcW w:w="2908" w:type="dxa"/>
          </w:tcPr>
          <w:p w14:paraId="523F67CD" w14:textId="3D2BA6A6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Covers private nuisance (interference with enjoyment of land) and the Rylands v Fletcher rule (liability for escape of dangerous things). Students consider how these protect land use and balance competing interests.</w:t>
            </w:r>
          </w:p>
        </w:tc>
        <w:tc>
          <w:tcPr>
            <w:tcW w:w="2908" w:type="dxa"/>
          </w:tcPr>
          <w:p w14:paraId="657DF60B" w14:textId="2AC2FC0C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Examines when an employer is held legally responsible for the actions of their employees, particularly in the course of employment. Recent case developments and fairness of this principle are discussed.</w:t>
            </w:r>
          </w:p>
        </w:tc>
        <w:tc>
          <w:tcPr>
            <w:tcW w:w="3678" w:type="dxa"/>
          </w:tcPr>
          <w:p w14:paraId="2C54E448" w14:textId="481422D1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 xml:space="preserve">Includes defences such as contributory negligence, consent (volenti), and remedies like </w:t>
            </w:r>
            <w:proofErr w:type="gramStart"/>
            <w:r w:rsidRPr="00BC1B91">
              <w:rPr>
                <w:rFonts w:ascii="Century Gothic" w:hAnsi="Century Gothic"/>
                <w:sz w:val="16"/>
                <w:szCs w:val="16"/>
              </w:rPr>
              <w:t>damages</w:t>
            </w:r>
            <w:proofErr w:type="gramEnd"/>
            <w:r w:rsidRPr="00BC1B91">
              <w:rPr>
                <w:rFonts w:ascii="Century Gothic" w:hAnsi="Century Gothic"/>
                <w:sz w:val="16"/>
                <w:szCs w:val="16"/>
              </w:rPr>
              <w:t xml:space="preserve"> and injunctions. Students evaluate whether the law provides fair compensation.</w:t>
            </w:r>
          </w:p>
        </w:tc>
      </w:tr>
      <w:tr w:rsidR="0076413E" w14:paraId="01FF862F" w14:textId="77777777" w:rsidTr="00BC1B91">
        <w:trPr>
          <w:trHeight w:val="199"/>
        </w:trPr>
        <w:tc>
          <w:tcPr>
            <w:tcW w:w="2908" w:type="dxa"/>
            <w:shd w:val="clear" w:color="auto" w:fill="FBD4B4" w:themeFill="accent6" w:themeFillTint="66"/>
          </w:tcPr>
          <w:p w14:paraId="45D71776" w14:textId="5D29F25B" w:rsidR="0076413E" w:rsidRPr="00BC1B91" w:rsidRDefault="00BC1B91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Contract-</w:t>
            </w:r>
            <w:r w:rsidR="0076413E" w:rsidRPr="00BC1B91">
              <w:rPr>
                <w:rFonts w:ascii="Century Gothic" w:hAnsi="Century Gothic"/>
                <w:sz w:val="16"/>
                <w:szCs w:val="16"/>
              </w:rPr>
              <w:t>Formation</w:t>
            </w:r>
          </w:p>
        </w:tc>
        <w:tc>
          <w:tcPr>
            <w:tcW w:w="2908" w:type="dxa"/>
            <w:shd w:val="clear" w:color="auto" w:fill="FBD4B4" w:themeFill="accent6" w:themeFillTint="66"/>
          </w:tcPr>
          <w:p w14:paraId="67ABDD56" w14:textId="26107B52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Contract Terms</w:t>
            </w:r>
          </w:p>
        </w:tc>
        <w:tc>
          <w:tcPr>
            <w:tcW w:w="2908" w:type="dxa"/>
            <w:shd w:val="clear" w:color="auto" w:fill="FBD4B4" w:themeFill="accent6" w:themeFillTint="66"/>
          </w:tcPr>
          <w:p w14:paraId="4757136B" w14:textId="54B744BA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Vitiating Factors</w:t>
            </w:r>
          </w:p>
        </w:tc>
        <w:tc>
          <w:tcPr>
            <w:tcW w:w="2908" w:type="dxa"/>
            <w:shd w:val="clear" w:color="auto" w:fill="FBD4B4" w:themeFill="accent6" w:themeFillTint="66"/>
          </w:tcPr>
          <w:p w14:paraId="7290CE47" w14:textId="40E42C67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Discharge of Contract</w:t>
            </w:r>
          </w:p>
        </w:tc>
        <w:tc>
          <w:tcPr>
            <w:tcW w:w="3678" w:type="dxa"/>
            <w:shd w:val="clear" w:color="auto" w:fill="FBD4B4" w:themeFill="accent6" w:themeFillTint="66"/>
          </w:tcPr>
          <w:p w14:paraId="384674E7" w14:textId="14B0EB92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Remedies for Breach</w:t>
            </w:r>
          </w:p>
        </w:tc>
      </w:tr>
      <w:tr w:rsidR="0076413E" w14:paraId="0D4CDFF6" w14:textId="77777777" w:rsidTr="00BC1B91">
        <w:trPr>
          <w:trHeight w:val="1543"/>
        </w:trPr>
        <w:tc>
          <w:tcPr>
            <w:tcW w:w="2908" w:type="dxa"/>
          </w:tcPr>
          <w:p w14:paraId="42CB5865" w14:textId="4E4DE063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Covers the essential elements needed to form a legally binding agreement: offer, acceptance, consideration, and intention to create legal relations. Includes analysis of written, verbal, and electronic contracts.</w:t>
            </w:r>
          </w:p>
        </w:tc>
        <w:tc>
          <w:tcPr>
            <w:tcW w:w="2908" w:type="dxa"/>
          </w:tcPr>
          <w:p w14:paraId="0E0AF1B0" w14:textId="37FF7EE5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Focuses on the content of contracts, including express and implied terms, conditions, warranties, and innominate terms. Also examines exclusion clauses and statutory protections.</w:t>
            </w:r>
          </w:p>
        </w:tc>
        <w:tc>
          <w:tcPr>
            <w:tcW w:w="2908" w:type="dxa"/>
          </w:tcPr>
          <w:p w14:paraId="54E6B2FF" w14:textId="69AD622C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 xml:space="preserve">Deals with factors that may invalidate a contract, including misrepresentation, </w:t>
            </w:r>
            <w:proofErr w:type="gramStart"/>
            <w:r w:rsidRPr="00BC1B91">
              <w:rPr>
                <w:rFonts w:ascii="Century Gothic" w:hAnsi="Century Gothic"/>
                <w:sz w:val="16"/>
                <w:szCs w:val="16"/>
              </w:rPr>
              <w:t>mistake</w:t>
            </w:r>
            <w:proofErr w:type="gramEnd"/>
            <w:r w:rsidRPr="00BC1B91">
              <w:rPr>
                <w:rFonts w:ascii="Century Gothic" w:hAnsi="Century Gothic"/>
                <w:sz w:val="16"/>
                <w:szCs w:val="16"/>
              </w:rPr>
              <w:t>, duress, and undue influence. Students assess how the law protects parties from unfair agreements.</w:t>
            </w:r>
          </w:p>
        </w:tc>
        <w:tc>
          <w:tcPr>
            <w:tcW w:w="2908" w:type="dxa"/>
          </w:tcPr>
          <w:p w14:paraId="316DB41C" w14:textId="14822587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Explores how contracts can be legally ended: by performance, breach, agreement, or frustration (where unforeseen events make performance impossible). Students study the legal consequences of discharge.</w:t>
            </w:r>
          </w:p>
        </w:tc>
        <w:tc>
          <w:tcPr>
            <w:tcW w:w="3678" w:type="dxa"/>
          </w:tcPr>
          <w:p w14:paraId="58A356FC" w14:textId="41EEBABA" w:rsidR="0076413E" w:rsidRPr="00BC1B91" w:rsidRDefault="0076413E" w:rsidP="0076413E">
            <w:pPr>
              <w:rPr>
                <w:rFonts w:ascii="Century Gothic" w:hAnsi="Century Gothic"/>
                <w:sz w:val="16"/>
                <w:szCs w:val="16"/>
              </w:rPr>
            </w:pPr>
            <w:r w:rsidRPr="00BC1B91">
              <w:rPr>
                <w:rFonts w:ascii="Century Gothic" w:hAnsi="Century Gothic"/>
                <w:sz w:val="16"/>
                <w:szCs w:val="16"/>
              </w:rPr>
              <w:t>Includes legal responses to breach, such as damages (compensatory, nominal, or punitive), specific performance, and injunctions. Students consider the effectiveness and limitations of each remedy.</w:t>
            </w:r>
          </w:p>
        </w:tc>
      </w:tr>
    </w:tbl>
    <w:p w14:paraId="4FF457BC" w14:textId="6BD6B391" w:rsidR="0076413E" w:rsidRPr="0076413E" w:rsidRDefault="0076413E" w:rsidP="0076413E">
      <w:pPr>
        <w:tabs>
          <w:tab w:val="left" w:pos="7284"/>
        </w:tabs>
        <w:rPr>
          <w:rFonts w:ascii="Century Gothic" w:hAnsi="Century Gothic"/>
          <w:sz w:val="14"/>
          <w:szCs w:val="14"/>
        </w:rPr>
      </w:pPr>
      <w:r>
        <w:rPr>
          <w:rFonts w:ascii="Century Gothic" w:hAnsi="Century Gothic"/>
          <w:sz w:val="14"/>
          <w:szCs w:val="14"/>
        </w:rPr>
        <w:tab/>
      </w:r>
    </w:p>
    <w:sectPr w:rsidR="0076413E" w:rsidRPr="0076413E" w:rsidSect="00BC1B91">
      <w:pgSz w:w="15840" w:h="12240" w:orient="landscape"/>
      <w:pgMar w:top="426" w:right="247" w:bottom="284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44D5C" w14:textId="77777777" w:rsidR="00A707C5" w:rsidRDefault="00A707C5" w:rsidP="0076413E">
      <w:pPr>
        <w:spacing w:after="0" w:line="240" w:lineRule="auto"/>
      </w:pPr>
      <w:r>
        <w:separator/>
      </w:r>
    </w:p>
  </w:endnote>
  <w:endnote w:type="continuationSeparator" w:id="0">
    <w:p w14:paraId="114EDBE0" w14:textId="77777777" w:rsidR="00A707C5" w:rsidRDefault="00A707C5" w:rsidP="00764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0D118" w14:textId="77777777" w:rsidR="00A707C5" w:rsidRDefault="00A707C5" w:rsidP="0076413E">
      <w:pPr>
        <w:spacing w:after="0" w:line="240" w:lineRule="auto"/>
      </w:pPr>
      <w:r>
        <w:separator/>
      </w:r>
    </w:p>
  </w:footnote>
  <w:footnote w:type="continuationSeparator" w:id="0">
    <w:p w14:paraId="1F925AFE" w14:textId="77777777" w:rsidR="00A707C5" w:rsidRDefault="00A707C5" w:rsidP="007641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20705651">
    <w:abstractNumId w:val="8"/>
  </w:num>
  <w:num w:numId="2" w16cid:durableId="1581061121">
    <w:abstractNumId w:val="6"/>
  </w:num>
  <w:num w:numId="3" w16cid:durableId="1501694775">
    <w:abstractNumId w:val="5"/>
  </w:num>
  <w:num w:numId="4" w16cid:durableId="56512775">
    <w:abstractNumId w:val="4"/>
  </w:num>
  <w:num w:numId="5" w16cid:durableId="669216379">
    <w:abstractNumId w:val="7"/>
  </w:num>
  <w:num w:numId="6" w16cid:durableId="474949334">
    <w:abstractNumId w:val="3"/>
  </w:num>
  <w:num w:numId="7" w16cid:durableId="541941323">
    <w:abstractNumId w:val="2"/>
  </w:num>
  <w:num w:numId="8" w16cid:durableId="1375540796">
    <w:abstractNumId w:val="1"/>
  </w:num>
  <w:num w:numId="9" w16cid:durableId="989669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6413E"/>
    <w:rsid w:val="00815CE1"/>
    <w:rsid w:val="00A54B43"/>
    <w:rsid w:val="00A707C5"/>
    <w:rsid w:val="00AA1D8D"/>
    <w:rsid w:val="00AB62B5"/>
    <w:rsid w:val="00B47730"/>
    <w:rsid w:val="00BB7C6F"/>
    <w:rsid w:val="00BC1B91"/>
    <w:rsid w:val="00CB0664"/>
    <w:rsid w:val="00CC74BC"/>
    <w:rsid w:val="00D94F5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881DCC"/>
  <w14:defaultImageDpi w14:val="300"/>
  <w15:docId w15:val="{BD7A07D2-5F30-4FA1-9573-B83D2A77B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 Shaw</cp:lastModifiedBy>
  <cp:revision>2</cp:revision>
  <cp:lastPrinted>2025-07-07T07:57:00Z</cp:lastPrinted>
  <dcterms:created xsi:type="dcterms:W3CDTF">2025-07-14T12:17:00Z</dcterms:created>
  <dcterms:modified xsi:type="dcterms:W3CDTF">2025-07-14T12:17:00Z</dcterms:modified>
  <cp:category/>
</cp:coreProperties>
</file>